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A24" w:rsidRPr="00F44A24" w:rsidRDefault="00F44A24" w:rsidP="00F44A24">
      <w:pPr>
        <w:widowControl w:val="0"/>
        <w:autoSpaceDE w:val="0"/>
        <w:autoSpaceDN w:val="0"/>
        <w:adjustRightInd w:val="0"/>
        <w:ind w:left="34"/>
        <w:contextualSpacing/>
        <w:jc w:val="both"/>
        <w:rPr>
          <w:rFonts w:eastAsia="Calibri"/>
          <w:sz w:val="24"/>
          <w:szCs w:val="24"/>
          <w:lang w:val="uk-UA" w:eastAsia="en-US"/>
        </w:rPr>
      </w:pPr>
      <w:proofErr w:type="spellStart"/>
      <w:r w:rsidRPr="00F44A24">
        <w:rPr>
          <w:b/>
          <w:bCs/>
          <w:sz w:val="24"/>
          <w:szCs w:val="24"/>
        </w:rPr>
        <w:t>Семеног</w:t>
      </w:r>
      <w:proofErr w:type="spellEnd"/>
      <w:r w:rsidRPr="00F44A24">
        <w:rPr>
          <w:b/>
          <w:bCs/>
          <w:sz w:val="24"/>
          <w:szCs w:val="24"/>
        </w:rPr>
        <w:t xml:space="preserve"> О. </w:t>
      </w:r>
      <w:proofErr w:type="spellStart"/>
      <w:r w:rsidRPr="00F44A24">
        <w:rPr>
          <w:sz w:val="24"/>
          <w:szCs w:val="24"/>
        </w:rPr>
        <w:t>Академічна</w:t>
      </w:r>
      <w:proofErr w:type="spellEnd"/>
      <w:r w:rsidRPr="00F44A24">
        <w:rPr>
          <w:sz w:val="24"/>
          <w:szCs w:val="24"/>
        </w:rPr>
        <w:t xml:space="preserve"> культура – основа </w:t>
      </w:r>
      <w:proofErr w:type="spellStart"/>
      <w:proofErr w:type="gramStart"/>
      <w:r w:rsidRPr="00F44A24">
        <w:rPr>
          <w:sz w:val="24"/>
          <w:szCs w:val="24"/>
        </w:rPr>
        <w:t>досл</w:t>
      </w:r>
      <w:proofErr w:type="gramEnd"/>
      <w:r w:rsidRPr="00F44A24">
        <w:rPr>
          <w:sz w:val="24"/>
          <w:szCs w:val="24"/>
        </w:rPr>
        <w:t>ідницького</w:t>
      </w:r>
      <w:proofErr w:type="spellEnd"/>
      <w:r w:rsidRPr="00F44A24">
        <w:rPr>
          <w:sz w:val="24"/>
          <w:szCs w:val="24"/>
        </w:rPr>
        <w:t xml:space="preserve"> </w:t>
      </w:r>
      <w:proofErr w:type="spellStart"/>
      <w:r w:rsidRPr="00F44A24">
        <w:rPr>
          <w:sz w:val="24"/>
          <w:szCs w:val="24"/>
        </w:rPr>
        <w:t>навчання</w:t>
      </w:r>
      <w:proofErr w:type="spellEnd"/>
      <w:r w:rsidRPr="00F44A24">
        <w:rPr>
          <w:sz w:val="24"/>
          <w:szCs w:val="24"/>
        </w:rPr>
        <w:t xml:space="preserve"> в </w:t>
      </w:r>
      <w:proofErr w:type="spellStart"/>
      <w:r w:rsidRPr="00F44A24">
        <w:rPr>
          <w:sz w:val="24"/>
          <w:szCs w:val="24"/>
        </w:rPr>
        <w:t>університеті</w:t>
      </w:r>
      <w:proofErr w:type="spellEnd"/>
      <w:r w:rsidRPr="00F44A24">
        <w:rPr>
          <w:sz w:val="24"/>
          <w:szCs w:val="24"/>
        </w:rPr>
        <w:t xml:space="preserve">/ </w:t>
      </w:r>
      <w:proofErr w:type="spellStart"/>
      <w:r w:rsidRPr="00F44A24">
        <w:rPr>
          <w:sz w:val="24"/>
          <w:szCs w:val="24"/>
        </w:rPr>
        <w:t>Семеног</w:t>
      </w:r>
      <w:proofErr w:type="spellEnd"/>
      <w:r w:rsidRPr="00F44A24">
        <w:rPr>
          <w:sz w:val="24"/>
          <w:szCs w:val="24"/>
        </w:rPr>
        <w:t xml:space="preserve"> </w:t>
      </w:r>
      <w:r w:rsidRPr="00F44A24">
        <w:rPr>
          <w:sz w:val="24"/>
          <w:szCs w:val="24"/>
          <w:lang w:val="uk-UA"/>
        </w:rPr>
        <w:t>О.М.</w:t>
      </w:r>
      <w:r w:rsidRPr="00F44A24">
        <w:rPr>
          <w:sz w:val="24"/>
          <w:szCs w:val="24"/>
        </w:rPr>
        <w:t xml:space="preserve"> //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Академічна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культура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дослідника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в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освітньому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просторі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: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збірник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матеріалів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Першої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усеукраїнської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науково-практичної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конференції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(м.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Суми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, 18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травня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2017 року)/ за ред.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О.М.Семеног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,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О.В.Семеніхіної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. –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Суми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: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Видавництво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СумДПУ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ім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. А.С. </w:t>
      </w:r>
      <w:proofErr w:type="spellStart"/>
      <w:r w:rsidRPr="00F44A24">
        <w:rPr>
          <w:rFonts w:eastAsia="Calibri"/>
          <w:bCs/>
          <w:sz w:val="24"/>
          <w:szCs w:val="24"/>
          <w:lang w:eastAsia="en-US"/>
        </w:rPr>
        <w:t>Макаренка</w:t>
      </w:r>
      <w:proofErr w:type="spellEnd"/>
      <w:r w:rsidRPr="00F44A24">
        <w:rPr>
          <w:rFonts w:eastAsia="Calibri"/>
          <w:bCs/>
          <w:sz w:val="24"/>
          <w:szCs w:val="24"/>
          <w:lang w:eastAsia="en-US"/>
        </w:rPr>
        <w:t xml:space="preserve">, 2017. – </w:t>
      </w:r>
      <w:r w:rsidRPr="00F44A24">
        <w:rPr>
          <w:rFonts w:eastAsia="Calibri"/>
          <w:bCs/>
          <w:sz w:val="24"/>
          <w:szCs w:val="24"/>
          <w:lang w:val="uk-UA" w:eastAsia="en-US"/>
        </w:rPr>
        <w:t>С.</w:t>
      </w:r>
      <w:r w:rsidRPr="00F44A24">
        <w:rPr>
          <w:rFonts w:eastAsia="Calibri"/>
          <w:bCs/>
          <w:sz w:val="24"/>
          <w:szCs w:val="24"/>
          <w:lang w:eastAsia="en-US"/>
        </w:rPr>
        <w:t>9</w:t>
      </w:r>
      <w:r w:rsidRPr="00F44A24">
        <w:rPr>
          <w:rFonts w:eastAsia="Calibri"/>
          <w:bCs/>
          <w:sz w:val="24"/>
          <w:szCs w:val="24"/>
          <w:lang w:val="uk-UA" w:eastAsia="en-US"/>
        </w:rPr>
        <w:t>-13</w:t>
      </w:r>
      <w:r w:rsidRPr="00F44A24">
        <w:rPr>
          <w:rFonts w:eastAsia="Calibri"/>
          <w:bCs/>
          <w:sz w:val="24"/>
          <w:szCs w:val="24"/>
          <w:lang w:eastAsia="en-US"/>
        </w:rPr>
        <w:t>.</w:t>
      </w:r>
    </w:p>
    <w:p w:rsidR="00F44A24" w:rsidRDefault="00F44A24" w:rsidP="004F7E86">
      <w:pPr>
        <w:ind w:left="4536"/>
        <w:rPr>
          <w:rFonts w:asciiTheme="majorHAnsi" w:hAnsiTheme="majorHAnsi" w:cstheme="minorHAnsi"/>
          <w:b/>
          <w:i/>
          <w:szCs w:val="28"/>
          <w:lang w:val="uk-UA"/>
        </w:rPr>
      </w:pPr>
      <w:bookmarkStart w:id="0" w:name="_GoBack"/>
      <w:bookmarkEnd w:id="0"/>
    </w:p>
    <w:p w:rsidR="00F44A24" w:rsidRDefault="00F44A24" w:rsidP="004F7E86">
      <w:pPr>
        <w:ind w:left="4536"/>
        <w:rPr>
          <w:rFonts w:asciiTheme="majorHAnsi" w:hAnsiTheme="majorHAnsi" w:cstheme="minorHAnsi"/>
          <w:b/>
          <w:i/>
          <w:szCs w:val="28"/>
          <w:lang w:val="uk-UA"/>
        </w:rPr>
      </w:pPr>
    </w:p>
    <w:p w:rsidR="004F7E86" w:rsidRPr="00BA140F" w:rsidRDefault="004F7E86" w:rsidP="004F7E86">
      <w:pPr>
        <w:ind w:left="4536"/>
        <w:rPr>
          <w:rFonts w:asciiTheme="majorHAnsi" w:hAnsiTheme="majorHAnsi" w:cstheme="minorHAnsi"/>
          <w:szCs w:val="28"/>
          <w:lang w:val="uk-UA"/>
        </w:rPr>
      </w:pPr>
      <w:r w:rsidRPr="00BA140F">
        <w:rPr>
          <w:rFonts w:asciiTheme="majorHAnsi" w:hAnsiTheme="majorHAnsi" w:cstheme="minorHAnsi"/>
          <w:b/>
          <w:i/>
          <w:szCs w:val="28"/>
          <w:lang w:val="uk-UA"/>
        </w:rPr>
        <w:t xml:space="preserve">О. </w:t>
      </w:r>
      <w:proofErr w:type="spellStart"/>
      <w:r>
        <w:rPr>
          <w:rFonts w:asciiTheme="majorHAnsi" w:hAnsiTheme="majorHAnsi" w:cstheme="minorHAnsi"/>
          <w:b/>
          <w:i/>
          <w:szCs w:val="28"/>
          <w:lang w:val="uk-UA"/>
        </w:rPr>
        <w:t>Семеног</w:t>
      </w:r>
      <w:proofErr w:type="spellEnd"/>
      <w:r w:rsidRPr="00BA140F">
        <w:rPr>
          <w:rFonts w:asciiTheme="majorHAnsi" w:hAnsiTheme="majorHAnsi" w:cstheme="minorHAnsi"/>
          <w:szCs w:val="28"/>
          <w:lang w:val="uk-UA"/>
        </w:rPr>
        <w:t>,</w:t>
      </w:r>
      <w:r w:rsidRPr="00BA140F">
        <w:rPr>
          <w:rFonts w:asciiTheme="majorHAnsi" w:hAnsiTheme="majorHAnsi" w:cstheme="minorHAnsi"/>
          <w:szCs w:val="28"/>
          <w:lang w:val="uk-UA"/>
        </w:rPr>
        <w:br/>
        <w:t xml:space="preserve">Сумський державний педагогічний </w:t>
      </w:r>
    </w:p>
    <w:p w:rsidR="004F7E86" w:rsidRDefault="004F7E86" w:rsidP="004F7E86">
      <w:pPr>
        <w:ind w:left="4536"/>
        <w:rPr>
          <w:rFonts w:asciiTheme="majorHAnsi" w:hAnsiTheme="majorHAnsi" w:cstheme="minorHAnsi"/>
          <w:szCs w:val="28"/>
          <w:lang w:val="uk-UA"/>
        </w:rPr>
      </w:pPr>
      <w:r w:rsidRPr="00BA140F">
        <w:rPr>
          <w:rFonts w:asciiTheme="majorHAnsi" w:hAnsiTheme="majorHAnsi" w:cstheme="minorHAnsi"/>
          <w:szCs w:val="28"/>
          <w:lang w:val="uk-UA"/>
        </w:rPr>
        <w:t xml:space="preserve">університет імені А.С. Макаренка, </w:t>
      </w:r>
    </w:p>
    <w:p w:rsidR="004F7E86" w:rsidRPr="00BA140F" w:rsidRDefault="004F7E86" w:rsidP="004F7E86">
      <w:pPr>
        <w:ind w:left="4536"/>
        <w:rPr>
          <w:rFonts w:asciiTheme="majorHAnsi" w:hAnsiTheme="majorHAnsi" w:cstheme="minorHAnsi"/>
          <w:szCs w:val="28"/>
          <w:lang w:val="uk-UA"/>
        </w:rPr>
      </w:pPr>
      <w:r w:rsidRPr="00BA140F">
        <w:rPr>
          <w:rFonts w:asciiTheme="majorHAnsi" w:hAnsiTheme="majorHAnsi" w:cstheme="minorHAnsi"/>
          <w:szCs w:val="28"/>
          <w:lang w:val="uk-UA"/>
        </w:rPr>
        <w:t>м. Суми</w:t>
      </w:r>
    </w:p>
    <w:p w:rsidR="004F7E86" w:rsidRPr="009F45B3" w:rsidRDefault="004F7E86" w:rsidP="004F7E86">
      <w:pPr>
        <w:jc w:val="right"/>
        <w:rPr>
          <w:rFonts w:asciiTheme="majorHAnsi" w:hAnsiTheme="majorHAnsi" w:cstheme="minorHAnsi"/>
          <w:sz w:val="24"/>
          <w:szCs w:val="24"/>
        </w:rPr>
      </w:pPr>
    </w:p>
    <w:p w:rsidR="004F7E86" w:rsidRPr="004914C5" w:rsidRDefault="004F7E86" w:rsidP="004F7E86">
      <w:pPr>
        <w:widowControl w:val="0"/>
        <w:spacing w:line="288" w:lineRule="auto"/>
        <w:jc w:val="center"/>
        <w:rPr>
          <w:rFonts w:asciiTheme="majorHAnsi" w:hAnsiTheme="majorHAnsi" w:cstheme="minorHAnsi"/>
          <w:b/>
          <w:color w:val="000000"/>
          <w:szCs w:val="28"/>
          <w:lang w:val="uk-UA" w:eastAsia="en-US"/>
        </w:rPr>
      </w:pPr>
      <w:r w:rsidRPr="007E4122">
        <w:rPr>
          <w:rFonts w:asciiTheme="majorHAnsi" w:hAnsiTheme="majorHAnsi" w:cstheme="minorHAnsi"/>
          <w:b/>
          <w:color w:val="000000"/>
          <w:szCs w:val="28"/>
          <w:lang w:val="uk-UA"/>
        </w:rPr>
        <w:t>АКАДЕМІЧНА КУЛЬТУРА –</w:t>
      </w:r>
    </w:p>
    <w:p w:rsidR="004F7E86" w:rsidRPr="004914C5" w:rsidRDefault="004F7E86" w:rsidP="004F7E86">
      <w:pPr>
        <w:widowControl w:val="0"/>
        <w:spacing w:line="288" w:lineRule="auto"/>
        <w:jc w:val="center"/>
        <w:rPr>
          <w:rFonts w:asciiTheme="majorHAnsi" w:hAnsiTheme="majorHAnsi" w:cstheme="minorHAnsi"/>
          <w:b/>
          <w:color w:val="000000"/>
          <w:szCs w:val="28"/>
          <w:lang w:val="uk-UA" w:eastAsia="en-US"/>
        </w:rPr>
      </w:pPr>
      <w:r w:rsidRPr="007E4122">
        <w:rPr>
          <w:rFonts w:asciiTheme="majorHAnsi" w:hAnsiTheme="majorHAnsi" w:cstheme="minorHAnsi"/>
          <w:b/>
          <w:color w:val="000000"/>
          <w:szCs w:val="28"/>
          <w:lang w:val="uk-UA" w:eastAsia="en-US"/>
        </w:rPr>
        <w:t>ОСНОВА ДОСЛІДНИЦЬКОГО НАВЧАННЯ В УНІВЕРСИТЕТІ</w:t>
      </w:r>
    </w:p>
    <w:p w:rsidR="004569BC" w:rsidRPr="008B5706" w:rsidRDefault="004569BC" w:rsidP="004569BC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 w:val="24"/>
          <w:szCs w:val="24"/>
          <w:lang w:val="uk-UA" w:eastAsia="en-US"/>
        </w:rPr>
      </w:pPr>
      <w:r>
        <w:rPr>
          <w:rFonts w:asciiTheme="majorHAnsi" w:eastAsia="TimesNewRomanPSMT" w:hAnsiTheme="majorHAnsi" w:cstheme="minorHAnsi"/>
          <w:color w:val="000000"/>
          <w:sz w:val="24"/>
          <w:szCs w:val="24"/>
          <w:lang w:val="uk-UA" w:eastAsia="en-US"/>
        </w:rPr>
        <w:t>анотація</w:t>
      </w:r>
    </w:p>
    <w:p w:rsidR="004F7E86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b/>
          <w:color w:val="000000"/>
          <w:sz w:val="20"/>
          <w:lang w:val="uk-UA" w:eastAsia="en-US"/>
        </w:rPr>
      </w:pPr>
    </w:p>
    <w:p w:rsidR="006A26AB" w:rsidRPr="004569BC" w:rsidRDefault="006A26AB" w:rsidP="004569BC">
      <w:pPr>
        <w:widowControl w:val="0"/>
        <w:spacing w:before="120"/>
        <w:ind w:firstLine="709"/>
        <w:jc w:val="both"/>
        <w:rPr>
          <w:rFonts w:asciiTheme="majorHAnsi" w:eastAsia="TimesNewRomanPSMT" w:hAnsiTheme="majorHAnsi" w:cstheme="minorHAnsi"/>
          <w:color w:val="000000"/>
          <w:sz w:val="24"/>
          <w:szCs w:val="24"/>
          <w:lang w:val="uk-UA" w:eastAsia="en-US"/>
        </w:rPr>
      </w:pPr>
      <w:r w:rsidRPr="004569BC">
        <w:rPr>
          <w:rFonts w:asciiTheme="majorHAnsi" w:hAnsiTheme="majorHAnsi" w:cstheme="minorHAnsi"/>
          <w:color w:val="000000"/>
          <w:sz w:val="24"/>
          <w:szCs w:val="24"/>
          <w:lang w:val="uk-UA" w:eastAsia="en-US"/>
        </w:rPr>
        <w:t xml:space="preserve">У  статті </w:t>
      </w:r>
      <w:r w:rsidR="008B5706" w:rsidRPr="004569BC">
        <w:rPr>
          <w:rFonts w:asciiTheme="majorHAnsi" w:hAnsiTheme="majorHAnsi" w:cstheme="minorHAnsi"/>
          <w:color w:val="000000"/>
          <w:sz w:val="24"/>
          <w:szCs w:val="24"/>
          <w:lang w:val="uk-UA" w:eastAsia="en-US"/>
        </w:rPr>
        <w:t xml:space="preserve">окреслено сутність, структуру </w:t>
      </w:r>
      <w:r w:rsidR="008B5706" w:rsidRPr="004569BC">
        <w:rPr>
          <w:rFonts w:asciiTheme="majorHAnsi" w:eastAsia="TimesNewRomanPSMT" w:hAnsiTheme="majorHAnsi" w:cstheme="minorHAnsi"/>
          <w:color w:val="000000"/>
          <w:sz w:val="24"/>
          <w:szCs w:val="24"/>
          <w:lang w:val="uk-UA" w:eastAsia="en-US"/>
        </w:rPr>
        <w:t>академічної культури дослідника.</w:t>
      </w:r>
    </w:p>
    <w:p w:rsidR="004569BC" w:rsidRPr="004569BC" w:rsidRDefault="004569BC" w:rsidP="004569BC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 w:eastAsia="uk-UA"/>
        </w:rPr>
      </w:pPr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 xml:space="preserve">The article outlines the essence, structure of the academic </w:t>
      </w:r>
      <w:proofErr w:type="spellStart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>culture</w:t>
      </w:r>
      <w:proofErr w:type="spellEnd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 xml:space="preserve"> </w:t>
      </w:r>
      <w:proofErr w:type="spellStart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>of</w:t>
      </w:r>
      <w:proofErr w:type="spellEnd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 xml:space="preserve"> </w:t>
      </w:r>
      <w:proofErr w:type="spellStart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>the</w:t>
      </w:r>
      <w:proofErr w:type="spellEnd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 xml:space="preserve"> </w:t>
      </w:r>
      <w:proofErr w:type="spellStart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>researcher</w:t>
      </w:r>
      <w:proofErr w:type="spellEnd"/>
      <w:r w:rsidRPr="004569BC">
        <w:rPr>
          <w:rFonts w:asciiTheme="majorHAnsi" w:hAnsiTheme="majorHAnsi" w:cstheme="minorHAnsi"/>
          <w:color w:val="000000"/>
          <w:szCs w:val="28"/>
          <w:highlight w:val="yellow"/>
          <w:lang w:val="uk-UA" w:eastAsia="uk-UA"/>
        </w:rPr>
        <w:t>.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zCs w:val="28"/>
          <w:lang w:val="uk-UA" w:eastAsia="uk-UA"/>
        </w:rPr>
        <w:t xml:space="preserve">Теоретичний аналіз та узагальнення наявних у наукових джерелах поглядів на сутність дослідницької діяльності педагога дозволяє визначити її як багатоаспектний і складноструктурований процес науково-творчої діяльності, що спрямована на виявлення й оцінку сутності, особливостей і тенденцій розвитку освітнього процесу з метою перетворення педагогічної дійсності та професійно-особистісного саморозвитку. Ідеться також про сукупність </w:t>
      </w:r>
      <w:r w:rsidRPr="004914C5">
        <w:rPr>
          <w:rFonts w:asciiTheme="majorHAnsi" w:hAnsiTheme="majorHAnsi" w:cstheme="minorHAnsi"/>
          <w:iCs/>
          <w:color w:val="000000"/>
          <w:szCs w:val="28"/>
          <w:lang w:val="uk-UA" w:eastAsia="uk-UA"/>
        </w:rPr>
        <w:t>взаємопов’язаних характеристик особистості, що включає стійку мотивацію (</w:t>
      </w:r>
      <w:r w:rsidRPr="004914C5">
        <w:rPr>
          <w:rFonts w:asciiTheme="majorHAnsi" w:hAnsiTheme="majorHAnsi" w:cstheme="minorHAnsi"/>
          <w:color w:val="000000"/>
          <w:szCs w:val="28"/>
          <w:lang w:val="uk-UA" w:eastAsia="uk-UA"/>
        </w:rPr>
        <w:t xml:space="preserve">наполегливість, цілеспрямованість, </w:t>
      </w:r>
      <w:r w:rsidRPr="004914C5">
        <w:rPr>
          <w:rFonts w:asciiTheme="majorHAnsi" w:hAnsiTheme="majorHAnsi" w:cstheme="minorHAnsi"/>
          <w:iCs/>
          <w:color w:val="000000"/>
          <w:szCs w:val="28"/>
          <w:lang w:val="uk-UA" w:eastAsia="uk-UA"/>
        </w:rPr>
        <w:t>відповідальність); наукові, методологічні, психологічні, педагогічні, філологічні знання; дослідницькі уміння і навички, досвід традиційних і творчих способів педагогічної дослідницької діяльності, яка проводиться в умовах загальноосвітнього навчального закладу</w:t>
      </w:r>
      <w:r w:rsidRPr="004914C5">
        <w:rPr>
          <w:rFonts w:asciiTheme="majorHAnsi" w:hAnsiTheme="majorHAnsi" w:cstheme="minorHAnsi"/>
          <w:color w:val="000000"/>
          <w:szCs w:val="28"/>
          <w:lang w:val="uk-UA" w:eastAsia="uk-UA"/>
        </w:rPr>
        <w:t xml:space="preserve">.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Дослідницька діяльність допомагає вчителеві подолати функціональну неузгодженість між системою освіти та вимогами часу, а також адаптуватися у постійно мінливому колі функціональних обов’язків, актуалізувати потребу, прагнення до професійного саморозвитку.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</w:pP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Фахову підготовку майбутніх педагогів-дослідників пронизує </w:t>
      </w:r>
      <w:r w:rsidRPr="004914C5">
        <w:rPr>
          <w:rFonts w:asciiTheme="majorHAnsi" w:hAnsiTheme="majorHAnsi" w:cstheme="minorHAnsi"/>
          <w:b/>
          <w:i/>
          <w:color w:val="000000"/>
          <w:spacing w:val="-4"/>
          <w:szCs w:val="28"/>
          <w:lang w:val="uk-UA" w:eastAsia="en-US"/>
        </w:rPr>
        <w:t>а</w:t>
      </w:r>
      <w:r w:rsidRPr="004914C5">
        <w:rPr>
          <w:rFonts w:asciiTheme="majorHAnsi" w:hAnsiTheme="majorHAnsi" w:cstheme="minorHAnsi"/>
          <w:b/>
          <w:bCs/>
          <w:i/>
          <w:color w:val="000000"/>
          <w:spacing w:val="-4"/>
          <w:szCs w:val="28"/>
          <w:lang w:val="uk-UA" w:eastAsia="en-US"/>
        </w:rPr>
        <w:t>кадемічна культура</w:t>
      </w:r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. Національний глосарій подає таку характеристику поняття</w:t>
      </w:r>
      <w:r w:rsidRPr="004914C5">
        <w:rPr>
          <w:rFonts w:asciiTheme="majorHAnsi" w:hAnsiTheme="majorHAnsi" w:cstheme="minorHAnsi"/>
          <w:b/>
          <w:bCs/>
          <w:color w:val="000000"/>
          <w:spacing w:val="-4"/>
          <w:szCs w:val="28"/>
          <w:lang w:val="uk-UA" w:eastAsia="en-US"/>
        </w:rPr>
        <w:t xml:space="preserve"> </w:t>
      </w:r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«а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кадемічний» (Academic): стосується освіти, навчання, викладання, досліджень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>.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У тлумачних словниках подано і такі визначення: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lastRenderedPageBreak/>
        <w:t xml:space="preserve">навчальний (стосується вищих навчальних закладів); теоретичний; дотримується традицій, канонів; високохудожній; почесний.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eastAsia="MS Mincho" w:hAnsiTheme="majorHAnsi" w:cstheme="minorHAnsi"/>
          <w:color w:val="000000"/>
          <w:spacing w:val="-4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>У контексті дослідження розглянемо поняття «культура».</w:t>
      </w:r>
      <w:r w:rsidRPr="004914C5">
        <w:rPr>
          <w:rFonts w:asciiTheme="majorHAnsi" w:eastAsia="MS Mincho" w:hAnsiTheme="majorHAnsi" w:cstheme="minorHAnsi"/>
          <w:b/>
          <w:color w:val="000000"/>
          <w:spacing w:val="-4"/>
          <w:szCs w:val="28"/>
          <w:lang w:val="uk-UA"/>
        </w:rPr>
        <w:t xml:space="preserve"> </w:t>
      </w:r>
      <w:r w:rsidRPr="007E4122">
        <w:rPr>
          <w:rFonts w:asciiTheme="majorHAnsi" w:eastAsia="MS Mincho" w:hAnsiTheme="majorHAnsi" w:cstheme="minorHAnsi"/>
          <w:b/>
          <w:color w:val="000000"/>
          <w:spacing w:val="-4"/>
          <w:szCs w:val="28"/>
          <w:lang w:val="uk-UA"/>
        </w:rPr>
        <w:t>Ц</w:t>
      </w:r>
      <w:r w:rsidRPr="004914C5">
        <w:rPr>
          <w:rFonts w:asciiTheme="majorHAnsi" w:eastAsia="MS Mincho" w:hAnsiTheme="majorHAnsi" w:cstheme="minorHAnsi"/>
          <w:color w:val="000000"/>
          <w:spacing w:val="-4"/>
          <w:szCs w:val="28"/>
          <w:lang w:val="uk-UA"/>
        </w:rPr>
        <w:t>е сукупність практичних, матеріальних і духовних надбань суспільства, які відображають історично досягнутий рівень розвитку суспільства й людини і втілюються у результатах продуктивної діяльності. У вужчому розумінні культура – це сфера духовного життя суспільства, що охоплює насамперед систему виховання, освіти, духовної творчості (особливо мистецької)(…). Водночас під культурою розуміють рівень освіченості, вихованості людей, а також рівень оволодіння якоюсь галуззю знань або діяльності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>.</w:t>
      </w:r>
      <w:r w:rsidRPr="004914C5">
        <w:rPr>
          <w:rFonts w:asciiTheme="majorHAnsi" w:eastAsia="MS Mincho" w:hAnsiTheme="majorHAnsi" w:cstheme="minorHAnsi"/>
          <w:color w:val="000000"/>
          <w:spacing w:val="-4"/>
          <w:szCs w:val="28"/>
          <w:lang w:val="uk-UA"/>
        </w:rPr>
        <w:t xml:space="preserve"> </w:t>
      </w:r>
    </w:p>
    <w:p w:rsidR="004F7E86" w:rsidRPr="004914C5" w:rsidRDefault="004F7E86" w:rsidP="004F7E86">
      <w:pPr>
        <w:widowControl w:val="0"/>
        <w:autoSpaceDE w:val="0"/>
        <w:autoSpaceDN w:val="0"/>
        <w:adjustRightInd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pacing w:val="-6"/>
          <w:szCs w:val="28"/>
          <w:lang w:val="uk-UA" w:eastAsia="en-US"/>
        </w:rPr>
      </w:pP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Поняття «</w:t>
      </w:r>
      <w:r w:rsidRPr="004914C5">
        <w:rPr>
          <w:rFonts w:asciiTheme="majorHAnsi" w:hAnsiTheme="majorHAnsi" w:cstheme="minorHAnsi"/>
          <w:b/>
          <w:i/>
          <w:color w:val="000000"/>
          <w:spacing w:val="-4"/>
          <w:szCs w:val="28"/>
          <w:lang w:val="uk-UA" w:eastAsia="en-US"/>
        </w:rPr>
        <w:t>академічна культура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» фахівці характеризують як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uk-UA"/>
        </w:rPr>
        <w:t xml:space="preserve">культуру університету; </w:t>
      </w:r>
      <w:r w:rsidRPr="004914C5">
        <w:rPr>
          <w:rFonts w:asciiTheme="majorHAnsi" w:eastAsia="TimesNewRomanPSMT" w:hAnsiTheme="majorHAnsi" w:cstheme="minorHAnsi"/>
          <w:color w:val="000000"/>
          <w:spacing w:val="-4"/>
          <w:szCs w:val="28"/>
          <w:lang w:val="uk-UA" w:eastAsia="en-US"/>
        </w:rPr>
        <w:t>інтелектуально-етичну систему цінностей, мотивацій, переконань та сприйняттів, які визначають професійну діяльність в освіті та науці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;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систему цінностей, традицій, норм, правил, зразків поведінки проведення наукового дослідження, способів діяльності, принципів спілкування, що ґрунтується на педагогічно адаптованому досвіді наукової пізнавальної діяльності; </w:t>
      </w:r>
      <w:r w:rsidRPr="004914C5">
        <w:rPr>
          <w:rFonts w:asciiTheme="majorHAnsi" w:eastAsia="TimesNewRomanPSMT" w:hAnsiTheme="majorHAnsi" w:cstheme="minorHAnsi"/>
          <w:color w:val="000000"/>
          <w:spacing w:val="-4"/>
          <w:szCs w:val="28"/>
          <w:lang w:val="uk-UA"/>
        </w:rPr>
        <w:t>культуру високої духовності і моралі, культуру особливої поведінки і спілкування людей, які професійно покликані забезпечувати трансляцію культурних цінностей; культуру високої якості праці і відповідальності за її результати, культуру толерантності і педагогічного оптимізму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.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uk-UA"/>
        </w:rPr>
        <w:t>Академічна культура відображає ставлення до відносин, цінностей і способів поведінки, які є спільними для всіх, хто працює і навчається в університеті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. </w:t>
      </w:r>
      <w:r w:rsidRPr="004914C5">
        <w:rPr>
          <w:rFonts w:asciiTheme="majorHAnsi" w:hAnsiTheme="majorHAnsi" w:cstheme="minorHAnsi"/>
          <w:color w:val="000000"/>
          <w:spacing w:val="-6"/>
          <w:szCs w:val="28"/>
          <w:lang w:val="uk-UA"/>
        </w:rPr>
        <w:t xml:space="preserve">Цінності </w:t>
      </w:r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 xml:space="preserve">академічної культури (чесність, довіра, повага, відповідальність) сформульовано в Бухарестській декларації етичних цінностей і принципів вищої освіти в Європі, у </w:t>
      </w:r>
      <w:r w:rsidRPr="004914C5">
        <w:rPr>
          <w:rFonts w:asciiTheme="majorHAnsi" w:hAnsiTheme="majorHAnsi" w:cstheme="minorHAnsi"/>
          <w:bCs/>
          <w:color w:val="000000"/>
          <w:spacing w:val="-6"/>
          <w:szCs w:val="28"/>
          <w:shd w:val="clear" w:color="auto" w:fill="FFFFFF"/>
          <w:lang w:val="uk-UA" w:eastAsia="en-US"/>
        </w:rPr>
        <w:t>Стратегії розвитку Національної академії педагогічних наук України на 2016-2022 рр.</w:t>
      </w:r>
      <w:r w:rsidRPr="004914C5">
        <w:rPr>
          <w:rFonts w:asciiTheme="majorHAnsi" w:hAnsiTheme="majorHAnsi" w:cstheme="minorHAnsi"/>
          <w:color w:val="000000"/>
          <w:spacing w:val="-6"/>
          <w:szCs w:val="28"/>
          <w:lang w:val="uk-UA" w:eastAsia="en-US"/>
        </w:rPr>
        <w:t xml:space="preserve"> М</w:t>
      </w:r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орально-етичні, ціннісні, освітні аспекти академічної культури особистості розглянуто у наукових студіях В. </w:t>
      </w:r>
      <w:proofErr w:type="spellStart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Астахової</w:t>
      </w:r>
      <w:proofErr w:type="spellEnd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 xml:space="preserve">, </w:t>
      </w:r>
      <w:proofErr w:type="spellStart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Т. До</w:t>
      </w:r>
      <w:proofErr w:type="spellEnd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 xml:space="preserve">бко, </w:t>
      </w:r>
      <w:proofErr w:type="spellStart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О. Єрохі</w:t>
      </w:r>
      <w:proofErr w:type="spellEnd"/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ної</w:t>
      </w:r>
      <w:r w:rsidRPr="004914C5">
        <w:rPr>
          <w:rFonts w:asciiTheme="majorHAnsi" w:hAnsiTheme="majorHAnsi" w:cstheme="minorHAnsi"/>
          <w:color w:val="000000"/>
          <w:spacing w:val="-6"/>
          <w:szCs w:val="28"/>
          <w:lang w:val="uk-UA" w:eastAsia="en-US"/>
        </w:rPr>
        <w:t xml:space="preserve">. </w:t>
      </w:r>
    </w:p>
    <w:p w:rsidR="004F7E86" w:rsidRPr="004914C5" w:rsidRDefault="004F7E86" w:rsidP="004F7E86">
      <w:pPr>
        <w:widowControl w:val="0"/>
        <w:autoSpaceDE w:val="0"/>
        <w:autoSpaceDN w:val="0"/>
        <w:adjustRightInd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 w:eastAsia="en-US"/>
        </w:rPr>
      </w:pPr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/>
        </w:rPr>
        <w:t xml:space="preserve">У </w:t>
      </w:r>
      <w:r w:rsidRPr="004914C5">
        <w:rPr>
          <w:rFonts w:asciiTheme="majorHAnsi" w:eastAsia="TimesNewRomanPSMT" w:hAnsiTheme="majorHAnsi" w:cstheme="minorHAnsi"/>
          <w:color w:val="000000"/>
          <w:spacing w:val="-6"/>
          <w:szCs w:val="28"/>
          <w:lang w:val="uk-UA" w:eastAsia="en-US"/>
        </w:rPr>
        <w:t>Бухарестській</w:t>
      </w:r>
      <w:r w:rsidRPr="004914C5">
        <w:rPr>
          <w:rFonts w:asciiTheme="majorHAnsi" w:eastAsia="TimesNewRomanPSMT" w:hAnsiTheme="majorHAnsi" w:cstheme="minorHAnsi"/>
          <w:color w:val="000000"/>
          <w:szCs w:val="28"/>
          <w:lang w:val="uk-UA" w:eastAsia="en-US"/>
        </w:rPr>
        <w:t xml:space="preserve"> декларації етичних цінностей і принципів вищої освіти в Європі окреслено ц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інності </w:t>
      </w:r>
      <w:r w:rsidRPr="004914C5">
        <w:rPr>
          <w:rFonts w:asciiTheme="majorHAnsi" w:eastAsia="TimesNewRomanPSMT" w:hAnsiTheme="majorHAnsi" w:cstheme="minorHAnsi"/>
          <w:color w:val="000000"/>
          <w:szCs w:val="28"/>
          <w:lang w:val="uk-UA" w:eastAsia="en-US"/>
        </w:rPr>
        <w:t xml:space="preserve">академічної культури, зокрема,  академічну свободу, моральну і соціальну відповідальність дослідників за результати досліджень; прагнення наукових товариств до співпраці на світовому рівні; наукову, дослідницьку етику; позитивну емоційну взаємодію суб’єктів дослідницької діяльності; самовідданість праці.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Узагальнення досліджень дозволяє означити такі характерні ознаки поняття, як знання, зразок, покликання. </w:t>
      </w:r>
    </w:p>
    <w:p w:rsidR="004F7E86" w:rsidRPr="004914C5" w:rsidRDefault="004F7E86" w:rsidP="004F7E86">
      <w:pPr>
        <w:widowControl w:val="0"/>
        <w:spacing w:line="276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zCs w:val="28"/>
          <w:lang w:val="uk-UA"/>
        </w:rPr>
        <w:lastRenderedPageBreak/>
        <w:t xml:space="preserve">У структурі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академічн</w:t>
      </w:r>
      <w:r w:rsidRPr="004914C5">
        <w:rPr>
          <w:rFonts w:asciiTheme="majorHAnsi" w:hAnsiTheme="majorHAnsi" w:cstheme="minorHAnsi"/>
          <w:snapToGrid w:val="0"/>
          <w:color w:val="000000"/>
          <w:szCs w:val="28"/>
          <w:lang w:val="uk-UA"/>
        </w:rPr>
        <w:t xml:space="preserve">ої культури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виділяємо, зокрема, аксіологічний, мотиваційно-етичний, інформаційно-когнітивний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праксеологічний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, поведінково-інтерактивний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компоненти, кожний з яких характеризується певним змістовим наповненням і знаходить відображення в культурі розумової праці, академічному дискурсі, етичній культурі, культурі академічного читання, академічного письма,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академної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грамотності, академічній риториці та ін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. Ціннісний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, етичний компоненти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академічн</w:t>
      </w:r>
      <w:r w:rsidRPr="004914C5">
        <w:rPr>
          <w:rFonts w:asciiTheme="majorHAnsi" w:hAnsiTheme="majorHAnsi" w:cstheme="minorHAnsi"/>
          <w:snapToGrid w:val="0"/>
          <w:color w:val="000000"/>
          <w:szCs w:val="28"/>
          <w:lang w:val="uk-UA"/>
        </w:rPr>
        <w:t xml:space="preserve">ої культури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охоплюють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морально-етичні цінності педагогічної професії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(професійний обов’язок, соціальна відповідальність, академічна честь, повага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до іншої людини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), етичні принципи педагога-дослідника у здійсненні дослідницької діяльності, академічної комунікації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на суб’єкт-суб’єктній,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гуманістичній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основі.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 w:eastAsia="en-US"/>
        </w:rPr>
      </w:pP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Праксеологічний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та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поведінково-інтерактивний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компоненти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академічн</w:t>
      </w:r>
      <w:r w:rsidRPr="004914C5">
        <w:rPr>
          <w:rFonts w:asciiTheme="majorHAnsi" w:hAnsiTheme="majorHAnsi" w:cstheme="minorHAnsi"/>
          <w:snapToGrid w:val="0"/>
          <w:color w:val="000000"/>
          <w:szCs w:val="28"/>
          <w:lang w:val="uk-UA"/>
        </w:rPr>
        <w:t xml:space="preserve">ої культури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характеризують ступінь реалізації засвоєних цінностей, норм, знань у ситуаціях професійного спілкування, охоплюють уміння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і навички, що ґрунтуються на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критичному мисленні,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володінні комунікативною технікою, вербальною та невербальною (манера говорити, жести, міміка, пантоміміка) взаємодією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і знаходять прояв, зокрема, в академічній грамотності.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До з</w:t>
      </w:r>
      <w:r w:rsidRPr="004914C5">
        <w:rPr>
          <w:rFonts w:asciiTheme="majorHAnsi" w:hAnsiTheme="majorHAnsi" w:cstheme="minorHAnsi"/>
          <w:bCs/>
          <w:color w:val="000000"/>
          <w:szCs w:val="28"/>
          <w:lang w:val="uk-UA" w:eastAsia="en-US"/>
        </w:rPr>
        <w:t xml:space="preserve">агальних </w:t>
      </w:r>
      <w:proofErr w:type="spellStart"/>
      <w:r w:rsidRPr="004914C5">
        <w:rPr>
          <w:rFonts w:asciiTheme="majorHAnsi" w:hAnsiTheme="majorHAnsi" w:cstheme="minorHAnsi"/>
          <w:bCs/>
          <w:color w:val="000000"/>
          <w:szCs w:val="28"/>
          <w:lang w:val="uk-UA" w:eastAsia="en-US"/>
        </w:rPr>
        <w:t>компетентностей</w:t>
      </w:r>
      <w:proofErr w:type="spellEnd"/>
      <w:r w:rsidRPr="004914C5">
        <w:rPr>
          <w:rFonts w:asciiTheme="majorHAnsi" w:hAnsiTheme="majorHAnsi" w:cstheme="minorHAnsi"/>
          <w:bCs/>
          <w:color w:val="000000"/>
          <w:szCs w:val="28"/>
          <w:lang w:val="uk-UA" w:eastAsia="en-US"/>
        </w:rPr>
        <w:t xml:space="preserve"> дослідника відносимо в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олодіння професійними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мовнокомунікативними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вміннями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>діалогового спілкування українською та англійською мовами з широкою науковою спільнотою, зокрема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в межах міждисциплінарного та/або міжнародного експертного середовища,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у процесі презентації матеріалів та результатів наукового дослідження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у вигляді наукових статей, доповідей,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мультимедій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відповідно до вимог стандартів і професійного співтовариства; н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авички операційної обробки наукових текстів різних жанрів наукового стилю (реферування, анотування, конспектування,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змістове, мовно-стилістичне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редагування, переклад та ін.); моделювання зв’язних наукових текстів (створювати глосарії ключових термінів; готувати наукові статті, тези, доповіді, повідомлення, виступи, наукові звіти, посібники), у тому числі з використанням новітніх інформаційно-комунікаційних технологій.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Аналіз досвіду формування академічної культури молодих дослідників в університетах Європи за дослідницько зорієнтованою моделлю засвідчує увагу наукової спільноти до академічної доброчесності. </w:t>
      </w:r>
      <w:r w:rsidRPr="004914C5">
        <w:rPr>
          <w:rFonts w:asciiTheme="majorHAnsi" w:hAnsiTheme="majorHAnsi" w:cstheme="minorHAnsi"/>
          <w:color w:val="000000"/>
          <w:szCs w:val="28"/>
          <w:lang w:val="uk-UA" w:eastAsia="uk-UA"/>
        </w:rPr>
        <w:t xml:space="preserve">Списування чужих думок, «вирізання» ідей інших не </w:t>
      </w:r>
      <w:r w:rsidRPr="004914C5">
        <w:rPr>
          <w:rFonts w:asciiTheme="majorHAnsi" w:hAnsiTheme="majorHAnsi" w:cstheme="minorHAnsi"/>
          <w:color w:val="000000"/>
          <w:szCs w:val="28"/>
          <w:lang w:val="uk-UA" w:eastAsia="uk-UA"/>
        </w:rPr>
        <w:lastRenderedPageBreak/>
        <w:t>схвалюється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.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Отже, вагомою є роль наукового керівництва,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ідіостиль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культура унікальної, неповторна педагогічної дії майстра. Справедливим є твердження: чим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>індивідуальніша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 творча сила та її продукт, тим вищий освітній рівень і багатша культура держави.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pacing w:val="-4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У підготовці бакалаврів і магістрів в університетах є певні напрацювання стосовно формування академічної культури. У десяти університетах України уже розпочато реалізацію Проекту Сприяння академічній доброчесності,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 функціонують школи академічного письма, ц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bdr w:val="none" w:sz="0" w:space="0" w:color="auto" w:frame="1"/>
          <w:lang w:val="uk-UA"/>
        </w:rPr>
        <w:t>ентри англомовної академічної комунікації</w:t>
      </w:r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bdr w:val="none" w:sz="0" w:space="0" w:color="auto" w:frame="1"/>
          <w:lang w:val="uk-UA"/>
        </w:rPr>
        <w:t xml:space="preserve"> (наприклад,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Львівський національний університет імені Івана Франка). </w:t>
      </w:r>
    </w:p>
    <w:p w:rsidR="004F7E86" w:rsidRPr="004914C5" w:rsidRDefault="004F7E86" w:rsidP="004F7E86">
      <w:pPr>
        <w:widowControl w:val="0"/>
        <w:spacing w:line="288" w:lineRule="auto"/>
        <w:ind w:firstLine="709"/>
        <w:jc w:val="both"/>
        <w:rPr>
          <w:rFonts w:asciiTheme="majorHAnsi" w:hAnsiTheme="majorHAnsi" w:cstheme="minorHAnsi"/>
          <w:color w:val="000000"/>
          <w:spacing w:val="-4"/>
          <w:szCs w:val="28"/>
          <w:lang w:val="uk-UA"/>
        </w:rPr>
      </w:pP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У звіті Ліги Європейських дослідницьких університетів (LERU) узагальнено зразковий досвід формування академічної культури молодих дослідників в університетах Європи за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дослідницько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зорієнтованою моделлю, що втілено у таких аспектах: гнучка діалогізація академічного середовища докторської школи шляхом використання технології дослідницького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веб-журналу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(a web-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based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research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student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log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), що є як інструментом ефективної комунікації молодих дослідників, команди наукових консультантів, знаних учених та адміністративного персоналу, так і засобом оцінювання академічного та наукового прогресу здобувачів наукового ступеня (Університетський коледж Лондона, </w:t>
      </w:r>
      <w:proofErr w:type="spellStart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University</w:t>
      </w:r>
      <w:proofErr w:type="spellEnd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College</w:t>
      </w:r>
      <w:proofErr w:type="spellEnd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London</w:t>
      </w:r>
      <w:proofErr w:type="spellEnd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,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The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Graduate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School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); </w:t>
      </w:r>
      <w:hyperlink r:id="rId6" w:history="1"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>http://www.grad.ucl.ac.uk/</w:t>
        </w:r>
      </w:hyperlink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; посилення відповідальності молодих дослідників та наукових консультантів за якість досліджень шляхом створення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компетентнісної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моделі докторської освіти як дескриптора у формі очікуваних результатів; формування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компетентностей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ефективного академічного письма; (формування академічної, технологічної, інтелектуальної, комунікативних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компетенцій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та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самоменеджменту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,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компетенцій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інноваційного менеджменту та лідерства, кар’єрних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компетенцій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) тощо (</w:t>
      </w:r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K.U. </w:t>
      </w:r>
      <w:proofErr w:type="spellStart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Leuven</w:t>
      </w:r>
      <w:proofErr w:type="spellEnd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 </w:t>
      </w:r>
      <w:proofErr w:type="spellStart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>University</w:t>
      </w:r>
      <w:proofErr w:type="spellEnd"/>
      <w:r w:rsidRPr="004914C5">
        <w:rPr>
          <w:rFonts w:asciiTheme="majorHAnsi" w:hAnsiTheme="majorHAnsi" w:cstheme="minorHAnsi"/>
          <w:bCs/>
          <w:color w:val="000000"/>
          <w:spacing w:val="-4"/>
          <w:szCs w:val="28"/>
          <w:lang w:val="uk-UA" w:eastAsia="en-US"/>
        </w:rPr>
        <w:t xml:space="preserve">, 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Нідерланди; </w:t>
      </w:r>
      <w:hyperlink w:history="1"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>https://www.kuleuven.be /</w:t>
        </w:r>
        <w:proofErr w:type="spellStart"/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>personeel</w:t>
        </w:r>
        <w:proofErr w:type="spellEnd"/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 xml:space="preserve"> /</w:t>
        </w:r>
        <w:proofErr w:type="spellStart"/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>competentieprofiel</w:t>
        </w:r>
        <w:proofErr w:type="spellEnd"/>
        <w:r w:rsidRPr="004914C5">
          <w:rPr>
            <w:rFonts w:asciiTheme="majorHAnsi" w:hAnsiTheme="majorHAnsi" w:cstheme="minorHAnsi"/>
            <w:color w:val="000000"/>
            <w:spacing w:val="-4"/>
            <w:szCs w:val="28"/>
            <w:lang w:val="uk-UA" w:eastAsia="en-US"/>
          </w:rPr>
          <w:t xml:space="preserve"> /index.htm</w:t>
        </w:r>
      </w:hyperlink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)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>. Така діяльність підтверджує, що ц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інності академічної культури мають пронизувати </w:t>
      </w:r>
      <w:proofErr w:type="spellStart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>освітньо-наукову</w:t>
      </w:r>
      <w:proofErr w:type="spellEnd"/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 w:eastAsia="en-US"/>
        </w:rPr>
        <w:t xml:space="preserve"> програму підготовки майбутніх педагогів</w:t>
      </w:r>
      <w:r w:rsidRPr="004914C5">
        <w:rPr>
          <w:rFonts w:asciiTheme="majorHAnsi" w:hAnsiTheme="majorHAnsi" w:cstheme="minorHAnsi"/>
          <w:color w:val="000000"/>
          <w:spacing w:val="-4"/>
          <w:szCs w:val="28"/>
          <w:lang w:val="uk-UA"/>
        </w:rPr>
        <w:t xml:space="preserve">. </w:t>
      </w:r>
    </w:p>
    <w:p w:rsidR="004F7E86" w:rsidRPr="004914C5" w:rsidRDefault="004F7E86" w:rsidP="004F7E86">
      <w:pPr>
        <w:widowControl w:val="0"/>
        <w:spacing w:line="276" w:lineRule="auto"/>
        <w:ind w:firstLine="709"/>
        <w:jc w:val="both"/>
        <w:rPr>
          <w:rFonts w:asciiTheme="majorHAnsi" w:hAnsiTheme="majorHAnsi" w:cstheme="minorHAnsi"/>
          <w:color w:val="000000"/>
          <w:szCs w:val="28"/>
          <w:lang w:val="uk-UA" w:eastAsia="en-US"/>
        </w:rPr>
      </w:pP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Академічна культура – це культура унікальної, неповторної педагогічної дії майстра, який створює культурно-освітній простір університету, </w:t>
      </w:r>
      <w:r w:rsidRPr="004914C5">
        <w:rPr>
          <w:rFonts w:asciiTheme="majorHAnsi" w:hAnsiTheme="majorHAnsi" w:cstheme="minorHAnsi"/>
          <w:color w:val="000000"/>
          <w:szCs w:val="28"/>
          <w:shd w:val="clear" w:color="auto" w:fill="FFFFFF"/>
          <w:lang w:val="uk-UA"/>
        </w:rPr>
        <w:t xml:space="preserve">наповнює особистості духовністю і ціннісними пріоритетами </w:t>
      </w:r>
      <w:r w:rsidRPr="004914C5">
        <w:rPr>
          <w:rFonts w:asciiTheme="majorHAnsi" w:hAnsiTheme="majorHAnsi" w:cstheme="minorHAnsi"/>
          <w:color w:val="000000"/>
          <w:szCs w:val="28"/>
          <w:lang w:val="uk-UA" w:eastAsia="pl-PL"/>
        </w:rPr>
        <w:t xml:space="preserve">педагогічної </w:t>
      </w:r>
      <w:r w:rsidRPr="004914C5">
        <w:rPr>
          <w:rFonts w:asciiTheme="majorHAnsi" w:hAnsiTheme="majorHAnsi" w:cstheme="minorHAnsi"/>
          <w:color w:val="000000"/>
          <w:szCs w:val="28"/>
          <w:lang w:val="uk-UA"/>
        </w:rPr>
        <w:t xml:space="preserve">праці. Формування 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академічної культури більш ефективно відбувається, якщо враховувати положення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lastRenderedPageBreak/>
        <w:t>особистісно-діяльнісного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системного,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компетентнісного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аксіологічного, культурологічного,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андрагогічного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</w:t>
      </w:r>
      <w:proofErr w:type="spellStart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>акмеологічного</w:t>
      </w:r>
      <w:proofErr w:type="spellEnd"/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підходів, з урахуванням п</w:t>
      </w:r>
      <w:r w:rsidRPr="004914C5">
        <w:rPr>
          <w:rFonts w:asciiTheme="majorHAnsi" w:eastAsia="Calibri-Italic" w:hAnsiTheme="majorHAnsi" w:cstheme="minorHAnsi"/>
          <w:iCs/>
          <w:color w:val="000000"/>
          <w:szCs w:val="28"/>
          <w:lang w:val="uk-UA" w:eastAsia="en-US"/>
        </w:rPr>
        <w:t>ринципів контекстного навчання, комунікативної взаємодії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</w:t>
      </w:r>
      <w:r w:rsidRPr="004914C5">
        <w:rPr>
          <w:rFonts w:asciiTheme="majorHAnsi" w:eastAsia="Calibri-Italic" w:hAnsiTheme="majorHAnsi" w:cstheme="minorHAnsi"/>
          <w:iCs/>
          <w:color w:val="000000"/>
          <w:szCs w:val="28"/>
          <w:lang w:val="uk-UA" w:eastAsia="en-US"/>
        </w:rPr>
        <w:t>внутрішньої свободи особистості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, </w:t>
      </w:r>
      <w:r w:rsidRPr="004914C5">
        <w:rPr>
          <w:rFonts w:asciiTheme="majorHAnsi" w:eastAsia="Calibri-Italic" w:hAnsiTheme="majorHAnsi" w:cstheme="minorHAnsi"/>
          <w:iCs/>
          <w:color w:val="000000"/>
          <w:szCs w:val="28"/>
          <w:lang w:val="uk-UA" w:eastAsia="en-US"/>
        </w:rPr>
        <w:t xml:space="preserve">критичного </w:t>
      </w:r>
      <w:proofErr w:type="spellStart"/>
      <w:r w:rsidRPr="004914C5">
        <w:rPr>
          <w:rFonts w:asciiTheme="majorHAnsi" w:eastAsia="Calibri-Italic" w:hAnsiTheme="majorHAnsi" w:cstheme="minorHAnsi"/>
          <w:iCs/>
          <w:color w:val="000000"/>
          <w:szCs w:val="28"/>
          <w:lang w:val="uk-UA" w:eastAsia="en-US"/>
        </w:rPr>
        <w:t>самооцінювання</w:t>
      </w:r>
      <w:proofErr w:type="spellEnd"/>
      <w:r w:rsidRPr="004914C5">
        <w:rPr>
          <w:rFonts w:asciiTheme="majorHAnsi" w:eastAsia="Calibri-Italic" w:hAnsiTheme="majorHAnsi" w:cstheme="minorHAnsi"/>
          <w:iCs/>
          <w:color w:val="000000"/>
          <w:szCs w:val="28"/>
          <w:lang w:val="uk-UA" w:eastAsia="en-US"/>
        </w:rPr>
        <w:t>.</w:t>
      </w:r>
      <w:r w:rsidRPr="004914C5">
        <w:rPr>
          <w:rFonts w:asciiTheme="majorHAnsi" w:hAnsiTheme="majorHAnsi" w:cstheme="minorHAnsi"/>
          <w:color w:val="000000"/>
          <w:szCs w:val="28"/>
          <w:lang w:val="uk-UA" w:eastAsia="en-US"/>
        </w:rPr>
        <w:t xml:space="preserve"> </w:t>
      </w:r>
    </w:p>
    <w:p w:rsidR="0061317C" w:rsidRPr="004F7E86" w:rsidRDefault="0061317C">
      <w:pPr>
        <w:rPr>
          <w:lang w:val="uk-UA"/>
        </w:rPr>
      </w:pPr>
    </w:p>
    <w:sectPr w:rsidR="0061317C" w:rsidRPr="004F7E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3B6E77"/>
    <w:multiLevelType w:val="multilevel"/>
    <w:tmpl w:val="35E88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E86"/>
    <w:rsid w:val="002405D6"/>
    <w:rsid w:val="004569BC"/>
    <w:rsid w:val="004F7E86"/>
    <w:rsid w:val="0061317C"/>
    <w:rsid w:val="006A26AB"/>
    <w:rsid w:val="008B5706"/>
    <w:rsid w:val="00A93C14"/>
    <w:rsid w:val="00F4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E8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E8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60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rad.ucl.ac.u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1410</Words>
  <Characters>8039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URA</cp:lastModifiedBy>
  <cp:revision>3</cp:revision>
  <dcterms:created xsi:type="dcterms:W3CDTF">2017-12-13T15:55:00Z</dcterms:created>
  <dcterms:modified xsi:type="dcterms:W3CDTF">2017-12-13T15:55:00Z</dcterms:modified>
</cp:coreProperties>
</file>